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C2" w:rsidRDefault="008738C2" w:rsidP="008738C2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ARTICLE 31</w:t>
      </w:r>
    </w:p>
    <w:p w:rsidR="008738C2" w:rsidRDefault="008738C2" w:rsidP="008738C2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TRAINING AND PROFESSIONAL LEAVE</w:t>
      </w:r>
    </w:p>
    <w:p w:rsidR="008738C2" w:rsidRDefault="008738C2" w:rsidP="008738C2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8738C2" w:rsidRPr="008738C2" w:rsidRDefault="008738C2" w:rsidP="008738C2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Section Five. (a) Professional leave is defined as leave to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attend seminars, classes, lectures, workshops, conventions, or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other related activities in aid of the</w:t>
      </w:r>
      <w:r>
        <w:rPr>
          <w:rFonts w:ascii="Arial" w:eastAsia="Times New Roman" w:hAnsi="Arial" w:cs="Arial"/>
          <w:sz w:val="25"/>
          <w:szCs w:val="25"/>
        </w:rPr>
        <w:t xml:space="preserve"> d</w:t>
      </w:r>
      <w:r w:rsidRPr="008738C2">
        <w:rPr>
          <w:rFonts w:ascii="Arial" w:eastAsia="Times New Roman" w:hAnsi="Arial" w:cs="Arial"/>
          <w:sz w:val="25"/>
          <w:szCs w:val="25"/>
        </w:rPr>
        <w:t xml:space="preserve">evelopment, maintenance or exchange of professional skills, techniques or experiences which clearly relate to an employee's primary job assignment or logical </w:t>
      </w:r>
    </w:p>
    <w:p w:rsidR="008738C2" w:rsidRDefault="008738C2" w:rsidP="008738C2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8738C2">
        <w:rPr>
          <w:rFonts w:ascii="Arial" w:eastAsia="Times New Roman" w:hAnsi="Arial" w:cs="Arial"/>
          <w:sz w:val="25"/>
          <w:szCs w:val="25"/>
        </w:rPr>
        <w:t>career</w:t>
      </w:r>
      <w:proofErr w:type="gramEnd"/>
      <w:r w:rsidRPr="008738C2">
        <w:rPr>
          <w:rFonts w:ascii="Arial" w:eastAsia="Times New Roman" w:hAnsi="Arial" w:cs="Arial"/>
          <w:sz w:val="25"/>
          <w:szCs w:val="25"/>
        </w:rPr>
        <w:t xml:space="preserve"> progression.</w:t>
      </w:r>
    </w:p>
    <w:p w:rsidR="008738C2" w:rsidRPr="008738C2" w:rsidRDefault="008738C2" w:rsidP="008738C2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(b)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The Employer recognizes that certain benefits accrue to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 xml:space="preserve">both the State and the employee through participation in professional leave and will support such leave consistent with agency operating needs and budgetary constraints. </w:t>
      </w:r>
    </w:p>
    <w:p w:rsidR="008738C2" w:rsidRDefault="008738C2" w:rsidP="008738C2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(c)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Employees may request and, subject to the conditions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outlined herein, shall be granted up to ten (10) days leave with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pay per contract term for professional development</w:t>
      </w:r>
      <w:r>
        <w:rPr>
          <w:rFonts w:ascii="Arial" w:eastAsia="Times New Roman" w:hAnsi="Arial" w:cs="Arial"/>
          <w:sz w:val="25"/>
          <w:szCs w:val="25"/>
        </w:rPr>
        <w:t>.</w:t>
      </w:r>
    </w:p>
    <w:p w:rsidR="008738C2" w:rsidRPr="008738C2" w:rsidRDefault="008738C2" w:rsidP="008738C2">
      <w:pPr>
        <w:spacing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(1)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Request must be in writing, identifying the activity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to be attended and its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relationship to the job assignment and/or career progression, submitted at least three (3) weeks in advance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of leave.</w:t>
      </w:r>
    </w:p>
    <w:p w:rsidR="008738C2" w:rsidRPr="008738C2" w:rsidRDefault="008738C2" w:rsidP="008738C2">
      <w:pPr>
        <w:spacing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(2)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No overtime or expenses other than time off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without loss of regular day's pay will accrue to the State.</w:t>
      </w:r>
    </w:p>
    <w:p w:rsidR="008738C2" w:rsidRPr="008738C2" w:rsidRDefault="008738C2" w:rsidP="008738C2">
      <w:pPr>
        <w:spacing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(3)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Professional leave, if not used in any contract year,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8738C2">
        <w:rPr>
          <w:rFonts w:ascii="Arial" w:eastAsia="Times New Roman" w:hAnsi="Arial" w:cs="Arial"/>
          <w:sz w:val="25"/>
          <w:szCs w:val="25"/>
        </w:rPr>
        <w:t>shall be neither accruable nor payable.</w:t>
      </w:r>
    </w:p>
    <w:p w:rsidR="008738C2" w:rsidRPr="008738C2" w:rsidRDefault="008738C2" w:rsidP="008738C2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 w:rsidRPr="008738C2">
        <w:rPr>
          <w:rFonts w:ascii="Arial" w:eastAsia="Times New Roman" w:hAnsi="Arial" w:cs="Arial"/>
          <w:sz w:val="25"/>
          <w:szCs w:val="25"/>
        </w:rPr>
        <w:t>(d)Nothing herein will prevent the Employer from assigning an employee to participate in professional development activities as part of a regular job assignment. Such assignments however, will be in addition to professional leave. In such a case, the Employer will absorb any overtime or other expenses accruing from a regular job assignment, consistent with applicable contract provisions.</w:t>
      </w:r>
    </w:p>
    <w:p w:rsidR="00F60F29" w:rsidRDefault="00F60F29"/>
    <w:sectPr w:rsidR="00F60F29" w:rsidSect="00F6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revisionView w:inkAnnotations="0"/>
  <w:defaultTabStop w:val="720"/>
  <w:characterSpacingControl w:val="doNotCompress"/>
  <w:compat/>
  <w:rsids>
    <w:rsidRoot w:val="008738C2"/>
    <w:rsid w:val="004A07FB"/>
    <w:rsid w:val="008738C2"/>
    <w:rsid w:val="00F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2015-10-14T20:04:00Z</dcterms:created>
  <dcterms:modified xsi:type="dcterms:W3CDTF">2015-10-14T20:11:00Z</dcterms:modified>
</cp:coreProperties>
</file>